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eastAsia="黑体"/>
          <w:b/>
          <w:sz w:val="32"/>
          <w:szCs w:val="32"/>
        </w:rPr>
      </w:pPr>
      <w:r>
        <w:rPr>
          <w:rFonts w:hint="eastAsia" w:ascii="黑体" w:eastAsia="黑体"/>
          <w:b/>
          <w:sz w:val="32"/>
          <w:szCs w:val="32"/>
        </w:rPr>
        <w:t>高等职业</w:t>
      </w:r>
      <w:r>
        <w:rPr>
          <w:rFonts w:hint="eastAsia" w:eastAsia="黑体"/>
          <w:b/>
          <w:sz w:val="32"/>
        </w:rPr>
        <w:t>学校</w:t>
      </w:r>
      <w:r>
        <w:rPr>
          <w:rFonts w:hint="eastAsia" w:ascii="黑体" w:hAnsi="宋体" w:eastAsia="黑体"/>
          <w:b/>
          <w:sz w:val="32"/>
          <w:szCs w:val="32"/>
        </w:rPr>
        <w:t>畜牧兽医</w:t>
      </w:r>
      <w:r>
        <w:rPr>
          <w:rFonts w:hint="eastAsia" w:ascii="黑体" w:eastAsia="黑体"/>
          <w:b/>
          <w:sz w:val="32"/>
          <w:szCs w:val="32"/>
        </w:rPr>
        <w:t>专业教学标准</w:t>
      </w:r>
    </w:p>
    <w:p>
      <w:pPr>
        <w:ind w:firstLine="411" w:firstLineChars="195"/>
        <w:rPr>
          <w:rFonts w:hint="eastAsia"/>
          <w:b/>
        </w:rPr>
      </w:pPr>
    </w:p>
    <w:p>
      <w:pPr>
        <w:ind w:firstLine="411" w:firstLineChars="195"/>
        <w:rPr>
          <w:rFonts w:hint="eastAsia"/>
          <w:b/>
        </w:rPr>
      </w:pPr>
    </w:p>
    <w:p>
      <w:pPr>
        <w:snapToGrid w:val="0"/>
        <w:spacing w:line="380" w:lineRule="exact"/>
        <w:outlineLvl w:val="0"/>
        <w:rPr>
          <w:rFonts w:hint="eastAsia" w:ascii="宋体" w:hAnsi="宋体"/>
          <w:szCs w:val="21"/>
          <w:lang w:val="en-US" w:eastAsia="zh-CN"/>
        </w:rPr>
      </w:pPr>
      <w:r>
        <w:rPr>
          <w:rFonts w:hint="eastAsia" w:ascii="宋体" w:hAnsi="宋体"/>
          <w:b/>
          <w:sz w:val="24"/>
        </w:rPr>
        <w:t xml:space="preserve">专业名称 </w:t>
      </w:r>
      <w:r>
        <w:rPr>
          <w:rFonts w:hint="eastAsia" w:ascii="宋体" w:hAnsi="宋体"/>
          <w:b/>
          <w:sz w:val="24"/>
          <w:lang w:val="en-US" w:eastAsia="zh-CN"/>
        </w:rPr>
        <w:t xml:space="preserve"> </w:t>
      </w:r>
      <w:r>
        <w:rPr>
          <w:rFonts w:hint="eastAsia" w:ascii="宋体" w:hAnsi="宋体"/>
          <w:szCs w:val="21"/>
        </w:rPr>
        <w:t>畜牧兽医</w:t>
      </w:r>
      <w:r>
        <w:rPr>
          <w:rFonts w:hint="eastAsia" w:ascii="宋体" w:hAnsi="宋体"/>
          <w:szCs w:val="21"/>
          <w:lang w:val="en-US" w:eastAsia="zh-CN"/>
        </w:rPr>
        <w:t>(普招)</w:t>
      </w:r>
    </w:p>
    <w:p>
      <w:pPr>
        <w:snapToGrid w:val="0"/>
        <w:spacing w:line="380" w:lineRule="exact"/>
        <w:outlineLvl w:val="0"/>
        <w:rPr>
          <w:rFonts w:hint="eastAsia" w:ascii="宋体" w:hAnsi="宋体"/>
          <w:szCs w:val="21"/>
          <w:lang w:val="en-US" w:eastAsia="zh-CN"/>
        </w:rPr>
      </w:pPr>
    </w:p>
    <w:p>
      <w:pPr>
        <w:snapToGrid w:val="0"/>
        <w:spacing w:line="380" w:lineRule="exact"/>
        <w:outlineLvl w:val="0"/>
        <w:rPr>
          <w:rFonts w:hint="eastAsia" w:ascii="宋体" w:hAnsi="宋体"/>
          <w:szCs w:val="21"/>
        </w:rPr>
      </w:pPr>
      <w:r>
        <w:rPr>
          <w:rFonts w:hint="eastAsia" w:ascii="宋体" w:hAnsi="宋体"/>
          <w:b/>
          <w:sz w:val="24"/>
        </w:rPr>
        <w:t>专业代码</w:t>
      </w:r>
      <w:r>
        <w:rPr>
          <w:rFonts w:hint="eastAsia" w:ascii="宋体" w:hAnsi="宋体"/>
          <w:b/>
          <w:sz w:val="24"/>
          <w:lang w:val="en-US" w:eastAsia="zh-CN"/>
        </w:rPr>
        <w:t xml:space="preserve"> </w:t>
      </w:r>
      <w:r>
        <w:rPr>
          <w:rFonts w:hint="eastAsia" w:ascii="宋体" w:hAnsi="宋体"/>
          <w:b/>
          <w:sz w:val="24"/>
        </w:rPr>
        <w:t xml:space="preserve"> </w:t>
      </w:r>
      <w:r>
        <w:rPr>
          <w:rFonts w:hint="eastAsia" w:ascii="宋体" w:hAnsi="宋体"/>
          <w:szCs w:val="21"/>
        </w:rPr>
        <w:t>510301</w:t>
      </w:r>
    </w:p>
    <w:p>
      <w:pPr>
        <w:snapToGrid w:val="0"/>
        <w:spacing w:line="380" w:lineRule="exact"/>
        <w:outlineLvl w:val="0"/>
        <w:rPr>
          <w:rFonts w:hint="eastAsia" w:ascii="宋体" w:hAnsi="宋体"/>
          <w:szCs w:val="21"/>
        </w:rPr>
      </w:pPr>
    </w:p>
    <w:p>
      <w:pPr>
        <w:snapToGrid w:val="0"/>
        <w:spacing w:line="360" w:lineRule="auto"/>
        <w:outlineLvl w:val="0"/>
        <w:rPr>
          <w:rFonts w:ascii="宋体" w:hAnsi="宋体"/>
          <w:b/>
          <w:sz w:val="24"/>
        </w:rPr>
      </w:pPr>
      <w:r>
        <w:rPr>
          <w:rFonts w:hint="eastAsia" w:ascii="宋体" w:hAnsi="宋体"/>
          <w:b/>
          <w:sz w:val="24"/>
        </w:rPr>
        <w:t>招生对象</w:t>
      </w:r>
    </w:p>
    <w:p>
      <w:pPr>
        <w:snapToGrid w:val="0"/>
        <w:spacing w:line="360" w:lineRule="auto"/>
        <w:ind w:firstLine="424" w:firstLineChars="202"/>
        <w:rPr>
          <w:rFonts w:ascii="宋体" w:hAnsi="宋体"/>
          <w:szCs w:val="21"/>
        </w:rPr>
      </w:pPr>
      <w:r>
        <w:rPr>
          <w:rFonts w:hint="eastAsia" w:ascii="宋体" w:hAnsi="宋体"/>
          <w:szCs w:val="21"/>
          <w:lang w:eastAsia="zh-CN"/>
        </w:rPr>
        <w:t>普通</w:t>
      </w:r>
      <w:r>
        <w:rPr>
          <w:rFonts w:hint="eastAsia" w:ascii="宋体" w:hAnsi="宋体"/>
          <w:szCs w:val="21"/>
        </w:rPr>
        <w:t>高中毕业生</w:t>
      </w:r>
    </w:p>
    <w:p>
      <w:pPr>
        <w:snapToGrid w:val="0"/>
        <w:spacing w:line="380" w:lineRule="exact"/>
        <w:outlineLvl w:val="0"/>
        <w:rPr>
          <w:rFonts w:ascii="宋体" w:hAnsi="宋体"/>
          <w:b/>
          <w:sz w:val="24"/>
        </w:rPr>
      </w:pPr>
      <w:r>
        <w:rPr>
          <w:rFonts w:hint="eastAsia" w:ascii="宋体" w:hAnsi="宋体"/>
          <w:b/>
          <w:sz w:val="24"/>
        </w:rPr>
        <w:t>学制与学历</w:t>
      </w:r>
    </w:p>
    <w:p>
      <w:pPr>
        <w:snapToGrid w:val="0"/>
        <w:spacing w:line="360" w:lineRule="auto"/>
        <w:ind w:firstLine="424" w:firstLineChars="202"/>
        <w:rPr>
          <w:rFonts w:hint="eastAsia" w:ascii="宋体" w:hAnsi="宋体"/>
          <w:szCs w:val="21"/>
        </w:rPr>
      </w:pPr>
      <w:r>
        <w:rPr>
          <w:rFonts w:hint="eastAsia" w:ascii="宋体" w:hAnsi="宋体"/>
          <w:szCs w:val="21"/>
        </w:rPr>
        <w:t>三年</w:t>
      </w:r>
      <w:r>
        <w:rPr>
          <w:rFonts w:hint="eastAsia" w:ascii="宋体" w:hAnsi="宋体"/>
          <w:szCs w:val="21"/>
          <w:lang w:val="en-US" w:eastAsia="zh-CN"/>
        </w:rPr>
        <w:t xml:space="preserve"> </w:t>
      </w:r>
      <w:r>
        <w:rPr>
          <w:rFonts w:hint="eastAsia" w:ascii="宋体" w:hAnsi="宋体"/>
          <w:szCs w:val="21"/>
        </w:rPr>
        <w:t>专科</w:t>
      </w:r>
    </w:p>
    <w:p>
      <w:pPr>
        <w:snapToGrid w:val="0"/>
        <w:spacing w:line="360" w:lineRule="auto"/>
        <w:ind w:firstLine="424" w:firstLineChars="202"/>
        <w:rPr>
          <w:rFonts w:hint="eastAsia" w:ascii="宋体" w:hAnsi="宋体"/>
          <w:szCs w:val="21"/>
        </w:rPr>
      </w:pPr>
    </w:p>
    <w:p>
      <w:pPr>
        <w:snapToGrid w:val="0"/>
        <w:spacing w:line="380" w:lineRule="exact"/>
        <w:outlineLvl w:val="0"/>
        <w:rPr>
          <w:rFonts w:ascii="宋体" w:hAnsi="宋体"/>
          <w:b/>
          <w:sz w:val="24"/>
        </w:rPr>
      </w:pPr>
      <w:r>
        <w:rPr>
          <w:rFonts w:hint="eastAsia" w:ascii="宋体" w:hAnsi="宋体"/>
          <w:b/>
          <w:sz w:val="24"/>
        </w:rPr>
        <w:t>就业面向</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lang w:eastAsia="zh-CN"/>
        </w:rPr>
        <w:t>一、</w:t>
      </w:r>
      <w:r>
        <w:rPr>
          <w:rFonts w:hint="eastAsia" w:ascii="宋体" w:hAnsi="宋体"/>
          <w:szCs w:val="21"/>
        </w:rPr>
        <w:t>就业领域</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畜禽养殖企业、饲料加工与销售企业、兽药生产与营销企业、动物卫生监督与疫病监测机构、动物医院、基层畜牧兽医服务机构等。</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lang w:eastAsia="zh-CN"/>
        </w:rPr>
        <w:t>二、</w:t>
      </w:r>
      <w:r>
        <w:rPr>
          <w:rFonts w:hint="eastAsia" w:ascii="宋体" w:hAnsi="宋体"/>
          <w:szCs w:val="21"/>
        </w:rPr>
        <w:t>工作岗位</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工作岗位可分初始岗位和发展岗位两类。</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w:t>
      </w:r>
      <w:r>
        <w:rPr>
          <w:rFonts w:hint="eastAsia" w:ascii="宋体" w:hAnsi="宋体"/>
          <w:szCs w:val="21"/>
          <w:lang w:eastAsia="zh-CN"/>
        </w:rPr>
        <w:t>一</w:t>
      </w:r>
      <w:r>
        <w:rPr>
          <w:rFonts w:hint="eastAsia" w:ascii="宋体" w:hAnsi="宋体"/>
          <w:szCs w:val="21"/>
        </w:rPr>
        <w:t>）初始岗位：养殖企业技术员；饲料厂、兽药厂技术服务和营销人员；动物卫生监督、疫病诊疗机构和基层畜牧兽医服务机构技术员等岗位。</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w:t>
      </w:r>
      <w:r>
        <w:rPr>
          <w:rFonts w:hint="eastAsia" w:ascii="宋体" w:hAnsi="宋体"/>
          <w:szCs w:val="21"/>
          <w:lang w:eastAsia="zh-CN"/>
        </w:rPr>
        <w:t>二</w:t>
      </w:r>
      <w:r>
        <w:rPr>
          <w:rFonts w:hint="eastAsia" w:ascii="宋体" w:hAnsi="宋体"/>
          <w:szCs w:val="21"/>
        </w:rPr>
        <w:t>）发展岗位：本专业毕业生在企业一线连续工作3-5年的时间，经过专业能力、方法能力、社会能力的进一步锻炼，可以从初始岗位升迁到发展岗位。发展岗位包括：畜禽养殖企业业务经理、技术主管、技术总监、技术场长，饲料或兽药生产及销售企业区域经理或部门经理，动物疫病诊疗机构医师，动物卫生监督和畜牧兽医服务机构管理员等岗位。</w:t>
      </w:r>
    </w:p>
    <w:p>
      <w:pPr>
        <w:snapToGrid w:val="0"/>
        <w:spacing w:line="380" w:lineRule="exact"/>
        <w:outlineLvl w:val="0"/>
        <w:rPr>
          <w:rFonts w:hint="eastAsia" w:ascii="宋体" w:hAnsi="宋体"/>
          <w:b/>
          <w:szCs w:val="21"/>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jc w:val="both"/>
        <w:textAlignment w:val="auto"/>
        <w:outlineLvl w:val="0"/>
        <w:rPr>
          <w:rFonts w:ascii="宋体" w:hAnsi="宋体"/>
          <w:b/>
          <w:sz w:val="24"/>
        </w:rPr>
      </w:pPr>
      <w:r>
        <w:rPr>
          <w:rFonts w:hint="eastAsia" w:ascii="宋体" w:hAnsi="宋体"/>
          <w:b/>
          <w:sz w:val="24"/>
        </w:rPr>
        <w:t>培养目标与规格</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6" w:firstLineChars="202"/>
        <w:jc w:val="both"/>
        <w:textAlignment w:val="auto"/>
        <w:rPr>
          <w:rFonts w:hint="eastAsia" w:ascii="宋体" w:hAnsi="宋体"/>
          <w:szCs w:val="21"/>
        </w:rPr>
      </w:pPr>
      <w:r>
        <w:rPr>
          <w:rFonts w:hint="eastAsia" w:ascii="宋体" w:hAnsi="宋体"/>
          <w:b/>
          <w:bCs/>
          <w:szCs w:val="21"/>
          <w:lang w:eastAsia="zh-CN"/>
        </w:rPr>
        <w:t>一、</w:t>
      </w:r>
      <w:r>
        <w:rPr>
          <w:rFonts w:hint="eastAsia" w:ascii="宋体" w:hAnsi="宋体"/>
          <w:b/>
          <w:bCs/>
          <w:szCs w:val="21"/>
        </w:rPr>
        <w:t>专业培养目标</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培养拥护党的基本路线，适应畜牧兽医行业生产、管理、经营、服务第一线需要，德、智、体、美等方面全面发展，具有畜禽健康养殖与疾病防治知识和技能的高端技能型专门人才。</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2" w:firstLineChars="200"/>
        <w:jc w:val="both"/>
        <w:textAlignment w:val="auto"/>
        <w:outlineLvl w:val="0"/>
        <w:rPr>
          <w:rFonts w:hint="eastAsia" w:ascii="宋体" w:hAnsi="宋体"/>
          <w:b/>
          <w:bCs/>
          <w:szCs w:val="21"/>
        </w:rPr>
      </w:pPr>
      <w:r>
        <w:rPr>
          <w:rFonts w:hint="eastAsia" w:ascii="宋体" w:hAnsi="宋体"/>
          <w:b/>
          <w:bCs/>
          <w:szCs w:val="21"/>
          <w:lang w:eastAsia="zh-CN"/>
        </w:rPr>
        <w:t>二、</w:t>
      </w:r>
      <w:r>
        <w:rPr>
          <w:rFonts w:hint="eastAsia" w:ascii="宋体" w:hAnsi="宋体"/>
          <w:b/>
          <w:bCs/>
          <w:szCs w:val="21"/>
        </w:rPr>
        <w:t>人才培养规格</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w:t>
      </w:r>
      <w:r>
        <w:rPr>
          <w:rFonts w:hint="eastAsia" w:ascii="宋体" w:hAnsi="宋体"/>
          <w:szCs w:val="21"/>
          <w:lang w:eastAsia="zh-CN"/>
        </w:rPr>
        <w:t>一</w:t>
      </w:r>
      <w:r>
        <w:rPr>
          <w:rFonts w:hint="eastAsia" w:ascii="宋体" w:hAnsi="宋体"/>
          <w:szCs w:val="21"/>
        </w:rPr>
        <w:t>）基本素质要求</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热爱社会主义祖国，拥护党的基本路线，懂得中国特色社会主义理论体系的基本理论，理想信念坚定，具有良好的思想品德与法律素养；具有较好的沟通能力和团队意识；爱岗敬业，具有良好的职业道德、诚信观念、健全的人格和健康的体魄。</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w:t>
      </w:r>
      <w:r>
        <w:rPr>
          <w:rFonts w:hint="eastAsia" w:ascii="宋体" w:hAnsi="宋体"/>
          <w:szCs w:val="21"/>
          <w:lang w:eastAsia="zh-CN"/>
        </w:rPr>
        <w:t>二</w:t>
      </w:r>
      <w:r>
        <w:rPr>
          <w:rFonts w:hint="eastAsia" w:ascii="宋体" w:hAnsi="宋体"/>
          <w:szCs w:val="21"/>
        </w:rPr>
        <w:t>）专业知识、能力要求</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lang w:val="en-US" w:eastAsia="zh-CN"/>
        </w:rPr>
        <w:t>1.</w:t>
      </w:r>
      <w:r>
        <w:rPr>
          <w:rFonts w:hint="eastAsia" w:ascii="宋体" w:hAnsi="宋体"/>
          <w:szCs w:val="21"/>
        </w:rPr>
        <w:t>知识要求</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了解畜牧业发展的基本情况；了解畜牧业相关法规；掌握化学和生命科学的基本知识；掌握动物微生物与免疫、动物解剖与生理、动物营养与饲料、畜禽环境卫生、动物遗传育种、动物药理和病理的基本理论与知识；掌握动物生产与疾病防治的基本知识。</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lang w:val="en-US" w:eastAsia="zh-CN"/>
        </w:rPr>
        <w:t>2.</w:t>
      </w:r>
      <w:r>
        <w:rPr>
          <w:rFonts w:hint="eastAsia" w:ascii="宋体" w:hAnsi="宋体"/>
          <w:szCs w:val="21"/>
        </w:rPr>
        <w:t>能力要求</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掌握主要畜禽的饲养管理、育种繁殖、配合饲料生产的基本技能；掌握主要畜禽防疫体系建立与疾病诊断与防治方面的基本技能；能对畜牧业生产的新产品、新工艺与新技术进行引进、推广与应用；能为畜牧企业制订生产计划、经营计划、卫生防疫计划，能分析和解决畜牧生产中技术、经营、管理的基本问题；具有利用现代科技手段对畜牧业生产进行综合管理的能力和创新能力；具有现代信息技术应用的基本能力；具有一定的外语应用能力。</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职业态度</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热爱畜牧兽医事业，具有创新意识和创业精神；具有终身学习的意愿与能力；具有乐观向上、积极进取的心态；具有高度的责任感和踏实的工作态度。</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p>
    <w:p>
      <w:pPr>
        <w:snapToGrid w:val="0"/>
        <w:spacing w:line="400" w:lineRule="exact"/>
        <w:outlineLvl w:val="0"/>
        <w:rPr>
          <w:rFonts w:ascii="宋体" w:hAnsi="宋体"/>
          <w:b/>
          <w:sz w:val="24"/>
        </w:rPr>
      </w:pPr>
      <w:r>
        <w:rPr>
          <w:rFonts w:hint="eastAsia" w:ascii="宋体" w:hAnsi="宋体"/>
          <w:b/>
          <w:sz w:val="24"/>
        </w:rPr>
        <w:t>职业证书</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本专业毕业生至少应考取中级以上相关职业资格证书中的1种。相关职业资格证书包括：家畜饲养工、家畜繁殖工、家禽饲养工、家禽繁殖工、实验动物饲养工、饲料检验化验员、动物疫病防治员、兽医化验员、动物检疫检验员、中兽医员等。</w:t>
      </w:r>
    </w:p>
    <w:p>
      <w:pPr>
        <w:snapToGrid w:val="0"/>
        <w:spacing w:line="400" w:lineRule="exact"/>
        <w:outlineLvl w:val="0"/>
        <w:rPr>
          <w:rFonts w:hint="eastAsia" w:ascii="宋体" w:hAnsi="宋体"/>
          <w:b/>
          <w:szCs w:val="21"/>
        </w:rPr>
      </w:pPr>
    </w:p>
    <w:p>
      <w:pPr>
        <w:snapToGrid w:val="0"/>
        <w:spacing w:line="400" w:lineRule="exact"/>
        <w:outlineLvl w:val="0"/>
        <w:rPr>
          <w:rFonts w:ascii="宋体" w:hAnsi="宋体"/>
          <w:b/>
          <w:sz w:val="24"/>
        </w:rPr>
      </w:pPr>
      <w:r>
        <w:rPr>
          <w:rFonts w:hint="eastAsia" w:ascii="宋体" w:hAnsi="宋体"/>
          <w:b/>
          <w:sz w:val="24"/>
        </w:rPr>
        <w:t>课程体系与核心课程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2" w:firstLineChars="200"/>
        <w:jc w:val="both"/>
        <w:textAlignment w:val="auto"/>
        <w:outlineLvl w:val="0"/>
        <w:rPr>
          <w:rFonts w:ascii="宋体" w:hAnsi="宋体"/>
          <w:b/>
          <w:bCs/>
          <w:szCs w:val="21"/>
        </w:rPr>
      </w:pPr>
      <w:r>
        <w:rPr>
          <w:rFonts w:hint="eastAsia" w:ascii="宋体" w:hAnsi="宋体"/>
          <w:b/>
          <w:bCs/>
          <w:szCs w:val="21"/>
        </w:rPr>
        <w:t>一、专业课程体系</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依据专业人才培养目标和培养规格，综合考虑学生基本素质、职业能力培养与可持续发展，参照职业岗位任职要求，本专业的课程体系包括3个模块。</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lang w:eastAsia="zh-CN"/>
        </w:rPr>
        <w:t>（一）</w:t>
      </w:r>
      <w:r>
        <w:rPr>
          <w:rFonts w:hint="eastAsia" w:ascii="宋体" w:hAnsi="宋体"/>
          <w:szCs w:val="21"/>
        </w:rPr>
        <w:t>公共基础教育模块</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主要包括思想政治理论课，计算机文化基础、外语、体育与健康、职业发展规划与就业指导、军事技能训练与军事理论等。</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w:t>
      </w:r>
      <w:r>
        <w:rPr>
          <w:rFonts w:hint="eastAsia" w:ascii="宋体" w:hAnsi="宋体"/>
          <w:szCs w:val="21"/>
          <w:lang w:eastAsia="zh-CN"/>
        </w:rPr>
        <w:t>二</w:t>
      </w:r>
      <w:r>
        <w:rPr>
          <w:rFonts w:hint="eastAsia" w:ascii="宋体" w:hAnsi="宋体"/>
          <w:szCs w:val="21"/>
        </w:rPr>
        <w:t>）技术教育模块</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化学基础（有机、无机与分析化学）、动物生物化学、动物解剖与生理、动物微生物与免疫、动物遗传育种、动物繁殖技术、动物营养与配合饲料生产技术、动物药理、动物病理、兽医诊断技术、养猪与猪病防治、养禽与禽病防治、牛羊生产与疾病防治、宠物养护与疾病防治等课程。</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w:t>
      </w:r>
      <w:r>
        <w:rPr>
          <w:rFonts w:hint="eastAsia" w:ascii="宋体" w:hAnsi="宋体"/>
          <w:szCs w:val="21"/>
          <w:lang w:eastAsia="zh-CN"/>
        </w:rPr>
        <w:t>三</w:t>
      </w:r>
      <w:r>
        <w:rPr>
          <w:rFonts w:hint="eastAsia" w:ascii="宋体" w:hAnsi="宋体"/>
          <w:szCs w:val="21"/>
        </w:rPr>
        <w:t>）拓展教育模块</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包括素质教育拓展模块和能力拓展教育模块，供学生选修。素质拓展模块围绕人生、社会、道德、职业素养等内容，开设企业文化、国学概论、沟通技巧、应用写作等系列素质教育课程；能力拓展教育模块是在专业核心能力培养的基础上，围绕行业发展需要，设置针对畜牧兽医类职业岗位或岗位群进行专业能力扩展培养的若干个课程或课程组，如设置市场营销、企业管理、宠物养护技术、畜牧业法律法规、中兽医、专业外语、环境卫生与控制、牧场设计与管理、经济动物等课程，为学生个性化专业学习提供选择。</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本专业的课内总学时数不超过1700学时。公共基础教育模块课程学时可占总学时的20％-25%，技术教育模块学时可占总学时的50％-60%，拓展教育模块学时可占总学时的20％-25%。</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各校应结合当地畜牧业生产水平、生产方式、品种类型结构等因素，灵活确定各模块比例以及模块内的课程结构和课程内容。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2" w:firstLineChars="200"/>
        <w:jc w:val="both"/>
        <w:textAlignment w:val="auto"/>
        <w:outlineLvl w:val="0"/>
        <w:rPr>
          <w:rFonts w:hint="eastAsia" w:ascii="宋体" w:hAnsi="宋体"/>
          <w:b/>
          <w:bCs/>
          <w:szCs w:val="21"/>
        </w:rPr>
      </w:pPr>
      <w:r>
        <w:rPr>
          <w:rFonts w:hint="eastAsia" w:ascii="宋体" w:hAnsi="宋体"/>
          <w:b/>
          <w:bCs/>
          <w:szCs w:val="21"/>
        </w:rPr>
        <w:t>二、实践教学体系</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包括课堂实验、教学实习、专业实训、顶岗实习、社会实践等基本环节。课堂实验针对基本技能加强训练；教学实习针对该专业主干课程开设，一般开设4-6周；专业实训针对专业关键技术进行仿真或实际训练，一般开设3-4周；顶岗实习应不少于半年；社会实践应开展行业认知系列活动，一般安排假期进行。实践教学安排应灵活多样，提倡理实合一，课堂设置在生产现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2" w:firstLineChars="200"/>
        <w:jc w:val="both"/>
        <w:textAlignment w:val="auto"/>
        <w:outlineLvl w:val="0"/>
        <w:rPr>
          <w:rFonts w:ascii="宋体" w:hAnsi="宋体"/>
          <w:b/>
          <w:bCs/>
          <w:szCs w:val="21"/>
        </w:rPr>
      </w:pPr>
      <w:r>
        <w:rPr>
          <w:rFonts w:hint="eastAsia" w:ascii="宋体" w:hAnsi="宋体"/>
          <w:b/>
          <w:bCs/>
          <w:szCs w:val="21"/>
        </w:rPr>
        <w:t>三、专业核心课程简介</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本专业的核心课程包括养猪与猪病防治、养禽与禽病防治、牛羊生产技术与疾病防治、宠物养护与疾病防治等4门课程。</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养猪与猪病防治</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以规模化养猪生产为基础，要求学生了解当前养猪业的发展现状与趋势、猪的生物学习性、养猪设施、猪饲料配制与使用、养猪环境控制等基本知识，掌握种猪繁育技术、不同生产目的和不同阶段猪的饲养管理和卫生防疫技术、猪病防制技术、生产设备的使用与管理技术、猪场经营管理技术等。</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w:t>
      </w:r>
      <w:r>
        <w:rPr>
          <w:rFonts w:hint="eastAsia" w:ascii="宋体" w:hAnsi="宋体"/>
          <w:szCs w:val="21"/>
          <w:lang w:eastAsia="zh-CN"/>
        </w:rPr>
        <w:t>二</w:t>
      </w:r>
      <w:r>
        <w:rPr>
          <w:rFonts w:hint="eastAsia" w:ascii="宋体" w:hAnsi="宋体"/>
          <w:szCs w:val="21"/>
        </w:rPr>
        <w:t>）养禽与禽病防治</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以规模化家禽生产为基础，要求学生了解当前家禽业的发展现状与趋势、家禽的生物学习性、养禽设施、家禽饲料配制与使用、养禽环境控制等基本知识，掌握种禽繁育技术、不同生产目的和不同阶段家禽的饲养管理和卫生防疫技术、生产设备的使用与管理技术、禽病防制技术、家禽场经营管理技术等。</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w:t>
      </w:r>
      <w:r>
        <w:rPr>
          <w:rFonts w:hint="eastAsia" w:ascii="宋体" w:hAnsi="宋体"/>
          <w:szCs w:val="21"/>
          <w:lang w:eastAsia="zh-CN"/>
        </w:rPr>
        <w:t>三</w:t>
      </w:r>
      <w:r>
        <w:rPr>
          <w:rFonts w:hint="eastAsia" w:ascii="宋体" w:hAnsi="宋体"/>
          <w:szCs w:val="21"/>
        </w:rPr>
        <w:t>）牛羊生产与疾病防治</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要求学生了解当前牛羊产业的发展现状与趋势、牛羊的生物学习性、养殖设施、饲料配制与使用、环境控制等基本知识，掌握种牛种羊繁育技术、不同生产目的和不同阶段牛羊的饲养管理和卫生防疫技术、生产设备的使用与管理技术、牛羊场经营管理技术、牛羊病防治技术等。</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w:t>
      </w:r>
      <w:r>
        <w:rPr>
          <w:rFonts w:hint="eastAsia" w:ascii="宋体" w:hAnsi="宋体"/>
          <w:szCs w:val="21"/>
          <w:lang w:eastAsia="zh-CN"/>
        </w:rPr>
        <w:t>四</w:t>
      </w:r>
      <w:r>
        <w:rPr>
          <w:rFonts w:hint="eastAsia" w:ascii="宋体" w:hAnsi="宋体"/>
          <w:szCs w:val="21"/>
        </w:rPr>
        <w:t>）宠物养护与疾病防治</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了解宠物行业的现状与发展趋势、宠物美容护理的基本知识，掌握宠物疾病的诊断与治疗技术等。</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根据地方养殖业发展主要产业的差异，部分学校可以将经济动物养殖与疫病防治作为核心课程开设。</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2" w:firstLineChars="200"/>
        <w:jc w:val="both"/>
        <w:textAlignment w:val="auto"/>
        <w:outlineLvl w:val="0"/>
        <w:rPr>
          <w:rFonts w:ascii="宋体" w:hAnsi="宋体"/>
          <w:b/>
          <w:bCs/>
          <w:szCs w:val="21"/>
        </w:rPr>
      </w:pPr>
      <w:r>
        <w:rPr>
          <w:rFonts w:hint="eastAsia" w:ascii="宋体" w:hAnsi="宋体"/>
          <w:b/>
          <w:bCs/>
          <w:szCs w:val="21"/>
        </w:rPr>
        <w:t>四、教学进程安排</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第一学年开设公共基础教育模块课程和技术教育模块中基础部分，如化学、生物化学、解剖与生理、微生物与免疫等，兼顾开设素质拓展课程；</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第二学年主要开设技术教育模块课程、部分拓展模块课程；</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第三学年主要进行专业实训、能力拓展教育、顶岗实习和毕业考核。</w:t>
      </w:r>
    </w:p>
    <w:p>
      <w:pPr>
        <w:adjustRightInd w:val="0"/>
        <w:snapToGrid w:val="0"/>
        <w:spacing w:line="360" w:lineRule="auto"/>
        <w:ind w:firstLine="420" w:firstLineChars="200"/>
        <w:rPr>
          <w:rFonts w:hint="eastAsia" w:ascii="宋体" w:hAnsi="宋体"/>
          <w:szCs w:val="21"/>
        </w:rPr>
      </w:pPr>
      <w:r>
        <w:rPr>
          <w:rFonts w:hint="eastAsia" w:ascii="宋体" w:hAnsi="宋体"/>
          <w:szCs w:val="21"/>
        </w:rPr>
        <w:t>可参考下表安排教学进程。</w:t>
      </w:r>
    </w:p>
    <w:tbl>
      <w:tblPr>
        <w:tblStyle w:val="3"/>
        <w:tblW w:w="84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
        <w:gridCol w:w="7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6" w:type="dxa"/>
          </w:tcPr>
          <w:p>
            <w:pPr>
              <w:adjustRightInd w:val="0"/>
              <w:snapToGrid w:val="0"/>
              <w:spacing w:line="400" w:lineRule="exact"/>
              <w:jc w:val="center"/>
              <w:rPr>
                <w:rFonts w:hint="eastAsia" w:ascii="宋体" w:hAnsi="宋体"/>
                <w:sz w:val="18"/>
                <w:szCs w:val="18"/>
              </w:rPr>
            </w:pPr>
            <w:r>
              <w:rPr>
                <w:rFonts w:hint="eastAsia" w:ascii="宋体" w:hAnsi="宋体"/>
                <w:sz w:val="18"/>
                <w:szCs w:val="18"/>
              </w:rPr>
              <w:t>学期</w:t>
            </w:r>
          </w:p>
        </w:tc>
        <w:tc>
          <w:tcPr>
            <w:tcW w:w="7468" w:type="dxa"/>
          </w:tcPr>
          <w:p>
            <w:pPr>
              <w:adjustRightInd w:val="0"/>
              <w:snapToGrid w:val="0"/>
              <w:spacing w:line="400" w:lineRule="exact"/>
              <w:jc w:val="center"/>
              <w:rPr>
                <w:rFonts w:hint="eastAsia" w:ascii="宋体" w:hAnsi="宋体"/>
                <w:sz w:val="18"/>
                <w:szCs w:val="18"/>
              </w:rPr>
            </w:pPr>
            <w:r>
              <w:rPr>
                <w:rFonts w:hint="eastAsia" w:ascii="宋体" w:hAnsi="宋体"/>
                <w:sz w:val="18"/>
                <w:szCs w:val="18"/>
              </w:rPr>
              <w:t>主要教学活动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6" w:type="dxa"/>
          </w:tcPr>
          <w:p>
            <w:pPr>
              <w:adjustRightInd w:val="0"/>
              <w:snapToGrid w:val="0"/>
              <w:spacing w:line="400" w:lineRule="exact"/>
              <w:rPr>
                <w:rFonts w:hint="eastAsia" w:ascii="宋体" w:hAnsi="宋体" w:eastAsiaTheme="minorEastAsia"/>
                <w:sz w:val="18"/>
                <w:szCs w:val="18"/>
                <w:lang w:val="en-US" w:eastAsia="zh-CN"/>
              </w:rPr>
            </w:pPr>
            <w:r>
              <w:rPr>
                <w:rFonts w:hint="eastAsia" w:ascii="宋体" w:hAnsi="宋体"/>
                <w:sz w:val="18"/>
                <w:szCs w:val="18"/>
                <w:lang w:val="en-US" w:eastAsia="zh-CN"/>
              </w:rPr>
              <w:t>1</w:t>
            </w:r>
          </w:p>
        </w:tc>
        <w:tc>
          <w:tcPr>
            <w:tcW w:w="7468" w:type="dxa"/>
          </w:tcPr>
          <w:p>
            <w:pPr>
              <w:adjustRightInd w:val="0"/>
              <w:snapToGrid w:val="0"/>
              <w:spacing w:line="400" w:lineRule="exact"/>
              <w:rPr>
                <w:rFonts w:hint="eastAsia" w:ascii="宋体" w:hAnsi="宋体"/>
                <w:sz w:val="18"/>
                <w:szCs w:val="18"/>
              </w:rPr>
            </w:pPr>
            <w:r>
              <w:rPr>
                <w:rFonts w:hint="eastAsia" w:ascii="宋体" w:hAnsi="宋体"/>
                <w:sz w:val="18"/>
                <w:szCs w:val="18"/>
              </w:rPr>
              <w:t>开设公共基础教育课程、技术教育课程基础部分和素质拓展课程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6" w:type="dxa"/>
          </w:tcPr>
          <w:p>
            <w:pPr>
              <w:adjustRightInd w:val="0"/>
              <w:snapToGrid w:val="0"/>
              <w:spacing w:line="400" w:lineRule="exact"/>
              <w:rPr>
                <w:rFonts w:hint="eastAsia" w:ascii="宋体" w:hAnsi="宋体" w:eastAsiaTheme="minorEastAsia"/>
                <w:sz w:val="18"/>
                <w:szCs w:val="18"/>
                <w:lang w:val="en-US" w:eastAsia="zh-CN"/>
              </w:rPr>
            </w:pPr>
            <w:r>
              <w:rPr>
                <w:rFonts w:hint="eastAsia" w:ascii="宋体" w:hAnsi="宋体"/>
                <w:sz w:val="18"/>
                <w:szCs w:val="18"/>
                <w:lang w:val="en-US" w:eastAsia="zh-CN"/>
              </w:rPr>
              <w:t>2</w:t>
            </w:r>
          </w:p>
        </w:tc>
        <w:tc>
          <w:tcPr>
            <w:tcW w:w="7468" w:type="dxa"/>
          </w:tcPr>
          <w:p>
            <w:pPr>
              <w:adjustRightInd w:val="0"/>
              <w:snapToGrid w:val="0"/>
              <w:spacing w:line="400" w:lineRule="exact"/>
              <w:rPr>
                <w:rFonts w:hint="eastAsia" w:ascii="宋体" w:hAnsi="宋体"/>
                <w:sz w:val="18"/>
                <w:szCs w:val="18"/>
              </w:rPr>
            </w:pPr>
            <w:r>
              <w:rPr>
                <w:rFonts w:hint="eastAsia" w:ascii="宋体" w:hAnsi="宋体"/>
                <w:sz w:val="18"/>
                <w:szCs w:val="18"/>
              </w:rPr>
              <w:t>开设公共基础教育课程、技术教育课程基础部分和素质拓展课程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6" w:type="dxa"/>
          </w:tcPr>
          <w:p>
            <w:pPr>
              <w:adjustRightInd w:val="0"/>
              <w:snapToGrid w:val="0"/>
              <w:spacing w:line="400" w:lineRule="exact"/>
              <w:rPr>
                <w:rFonts w:hint="eastAsia" w:ascii="宋体" w:hAnsi="宋体" w:eastAsiaTheme="minorEastAsia"/>
                <w:sz w:val="18"/>
                <w:szCs w:val="18"/>
                <w:lang w:val="en-US" w:eastAsia="zh-CN"/>
              </w:rPr>
            </w:pPr>
            <w:r>
              <w:rPr>
                <w:rFonts w:hint="eastAsia" w:ascii="宋体" w:hAnsi="宋体"/>
                <w:sz w:val="18"/>
                <w:szCs w:val="18"/>
                <w:lang w:val="en-US" w:eastAsia="zh-CN"/>
              </w:rPr>
              <w:t>3</w:t>
            </w:r>
          </w:p>
        </w:tc>
        <w:tc>
          <w:tcPr>
            <w:tcW w:w="7468" w:type="dxa"/>
          </w:tcPr>
          <w:p>
            <w:pPr>
              <w:adjustRightInd w:val="0"/>
              <w:snapToGrid w:val="0"/>
              <w:spacing w:line="400" w:lineRule="exact"/>
              <w:rPr>
                <w:rFonts w:hint="eastAsia" w:ascii="宋体" w:hAnsi="宋体"/>
                <w:sz w:val="18"/>
                <w:szCs w:val="18"/>
              </w:rPr>
            </w:pPr>
            <w:r>
              <w:rPr>
                <w:rFonts w:hint="eastAsia" w:ascii="宋体" w:hAnsi="宋体"/>
                <w:sz w:val="18"/>
                <w:szCs w:val="18"/>
              </w:rPr>
              <w:t>开设技术教育课程、能力拓展课程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6" w:type="dxa"/>
          </w:tcPr>
          <w:p>
            <w:pPr>
              <w:adjustRightInd w:val="0"/>
              <w:snapToGrid w:val="0"/>
              <w:spacing w:line="400" w:lineRule="exact"/>
              <w:rPr>
                <w:rFonts w:hint="eastAsia" w:ascii="宋体" w:hAnsi="宋体" w:eastAsiaTheme="minorEastAsia"/>
                <w:sz w:val="18"/>
                <w:szCs w:val="18"/>
                <w:lang w:val="en-US" w:eastAsia="zh-CN"/>
              </w:rPr>
            </w:pPr>
            <w:r>
              <w:rPr>
                <w:rFonts w:hint="eastAsia" w:ascii="宋体" w:hAnsi="宋体"/>
                <w:sz w:val="18"/>
                <w:szCs w:val="18"/>
                <w:lang w:val="en-US" w:eastAsia="zh-CN"/>
              </w:rPr>
              <w:t>4</w:t>
            </w:r>
          </w:p>
        </w:tc>
        <w:tc>
          <w:tcPr>
            <w:tcW w:w="7468" w:type="dxa"/>
          </w:tcPr>
          <w:p>
            <w:pPr>
              <w:adjustRightInd w:val="0"/>
              <w:snapToGrid w:val="0"/>
              <w:spacing w:line="400" w:lineRule="exact"/>
              <w:rPr>
                <w:rFonts w:hint="eastAsia" w:ascii="宋体" w:hAnsi="宋体"/>
                <w:sz w:val="18"/>
                <w:szCs w:val="18"/>
              </w:rPr>
            </w:pPr>
            <w:r>
              <w:rPr>
                <w:rFonts w:hint="eastAsia" w:ascii="宋体" w:hAnsi="宋体"/>
                <w:sz w:val="18"/>
                <w:szCs w:val="18"/>
              </w:rPr>
              <w:t>开设技术教育课程、能力拓展课程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6" w:type="dxa"/>
          </w:tcPr>
          <w:p>
            <w:pPr>
              <w:adjustRightInd w:val="0"/>
              <w:snapToGrid w:val="0"/>
              <w:spacing w:line="400" w:lineRule="exact"/>
              <w:rPr>
                <w:rFonts w:hint="eastAsia" w:ascii="宋体" w:hAnsi="宋体" w:eastAsiaTheme="minorEastAsia"/>
                <w:sz w:val="18"/>
                <w:szCs w:val="18"/>
                <w:lang w:val="en-US" w:eastAsia="zh-CN"/>
              </w:rPr>
            </w:pPr>
            <w:r>
              <w:rPr>
                <w:rFonts w:hint="eastAsia" w:ascii="宋体" w:hAnsi="宋体"/>
                <w:sz w:val="18"/>
                <w:szCs w:val="18"/>
                <w:lang w:val="en-US" w:eastAsia="zh-CN"/>
              </w:rPr>
              <w:t>5</w:t>
            </w:r>
          </w:p>
        </w:tc>
        <w:tc>
          <w:tcPr>
            <w:tcW w:w="7468" w:type="dxa"/>
          </w:tcPr>
          <w:p>
            <w:pPr>
              <w:adjustRightInd w:val="0"/>
              <w:snapToGrid w:val="0"/>
              <w:spacing w:line="400" w:lineRule="exact"/>
              <w:rPr>
                <w:rFonts w:hint="eastAsia" w:ascii="宋体" w:hAnsi="宋体"/>
                <w:sz w:val="18"/>
                <w:szCs w:val="18"/>
              </w:rPr>
            </w:pPr>
            <w:r>
              <w:rPr>
                <w:rFonts w:hint="eastAsia" w:ascii="宋体" w:hAnsi="宋体"/>
                <w:sz w:val="18"/>
                <w:szCs w:val="18"/>
              </w:rPr>
              <w:t>前1/3学期学习部分拓展课程，后2/3学期进行专业实训、代职顶岗实习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6" w:type="dxa"/>
          </w:tcPr>
          <w:p>
            <w:pPr>
              <w:adjustRightInd w:val="0"/>
              <w:snapToGrid w:val="0"/>
              <w:spacing w:line="400" w:lineRule="exact"/>
              <w:rPr>
                <w:rFonts w:hint="eastAsia" w:ascii="宋体" w:hAnsi="宋体" w:eastAsiaTheme="minorEastAsia"/>
                <w:sz w:val="18"/>
                <w:szCs w:val="18"/>
                <w:lang w:val="en-US" w:eastAsia="zh-CN"/>
              </w:rPr>
            </w:pPr>
            <w:r>
              <w:rPr>
                <w:rFonts w:hint="eastAsia" w:ascii="宋体" w:hAnsi="宋体"/>
                <w:sz w:val="18"/>
                <w:szCs w:val="18"/>
                <w:lang w:val="en-US" w:eastAsia="zh-CN"/>
              </w:rPr>
              <w:t>6</w:t>
            </w:r>
          </w:p>
        </w:tc>
        <w:tc>
          <w:tcPr>
            <w:tcW w:w="7468" w:type="dxa"/>
          </w:tcPr>
          <w:p>
            <w:pPr>
              <w:adjustRightInd w:val="0"/>
              <w:snapToGrid w:val="0"/>
              <w:spacing w:line="400" w:lineRule="exact"/>
              <w:rPr>
                <w:rFonts w:hint="eastAsia" w:ascii="宋体" w:hAnsi="宋体"/>
                <w:sz w:val="18"/>
                <w:szCs w:val="18"/>
              </w:rPr>
            </w:pPr>
            <w:r>
              <w:rPr>
                <w:rFonts w:hint="eastAsia" w:ascii="宋体" w:hAnsi="宋体"/>
                <w:sz w:val="18"/>
                <w:szCs w:val="18"/>
              </w:rPr>
              <w:t>代职顶岗实习、毕业考核</w:t>
            </w:r>
          </w:p>
        </w:tc>
      </w:tr>
    </w:tbl>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教学进程安排应考虑课程间的衔接，充分考虑学生的可接受性。也可以结合行业生产实际，灵活确定课程时序安排、实践教学活动安排。</w:t>
      </w:r>
    </w:p>
    <w:p>
      <w:pPr>
        <w:adjustRightInd w:val="0"/>
        <w:snapToGrid w:val="0"/>
        <w:spacing w:line="400" w:lineRule="exact"/>
        <w:rPr>
          <w:rFonts w:hint="eastAsia" w:ascii="宋体" w:hAnsi="宋体"/>
          <w:b/>
          <w:szCs w:val="21"/>
        </w:rPr>
      </w:pP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400" w:lineRule="exact"/>
        <w:ind w:left="0" w:leftChars="0" w:right="0" w:rightChars="0" w:firstLine="0" w:firstLineChars="0"/>
        <w:jc w:val="both"/>
        <w:textAlignment w:val="auto"/>
        <w:outlineLvl w:val="9"/>
        <w:rPr>
          <w:rFonts w:hint="eastAsia" w:ascii="宋体" w:hAnsi="宋体"/>
          <w:b/>
          <w:sz w:val="24"/>
        </w:rPr>
      </w:pPr>
      <w:r>
        <w:rPr>
          <w:rFonts w:hint="eastAsia" w:ascii="宋体" w:hAnsi="宋体"/>
          <w:b/>
          <w:sz w:val="24"/>
        </w:rPr>
        <w:t>专业办学基本条件和</w:t>
      </w:r>
      <w:bookmarkStart w:id="0" w:name="_GoBack"/>
      <w:bookmarkEnd w:id="0"/>
      <w:r>
        <w:rPr>
          <w:rFonts w:hint="eastAsia" w:ascii="宋体" w:hAnsi="宋体"/>
          <w:b/>
          <w:sz w:val="24"/>
        </w:rPr>
        <w:t>教学建议</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2" w:firstLineChars="200"/>
        <w:jc w:val="both"/>
        <w:textAlignment w:val="auto"/>
        <w:outlineLvl w:val="0"/>
        <w:rPr>
          <w:rFonts w:hint="eastAsia" w:ascii="宋体" w:hAnsi="宋体"/>
          <w:b/>
          <w:bCs/>
          <w:szCs w:val="21"/>
        </w:rPr>
      </w:pPr>
      <w:r>
        <w:rPr>
          <w:rFonts w:hint="eastAsia" w:ascii="宋体" w:hAnsi="宋体"/>
          <w:b/>
          <w:bCs/>
          <w:szCs w:val="21"/>
        </w:rPr>
        <w:t>一、专业教学团队</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具有相对稳定、水平较高的“双师”素质师资队伍，师生比应不低于1：18。</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所有主讲教师应具有中级以上专业技术职务，专业教师中至少5人具有高级专业技术职务。</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专业教师中应有80%以上的人员符合“双师素质”要求，所有任课教师应具有本科及以上学历，其中有40%以上教师具有研究生学历（学位）。</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来自行业、企业的兼职教师不少于专业技能课教师的50%，兼职教师应为企业的技术骨干或管理人员，一般应具备3年以上的企业工作经历。专业技能课应逐步形成主要由一线专家讲授的机制。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2" w:firstLineChars="200"/>
        <w:jc w:val="both"/>
        <w:textAlignment w:val="auto"/>
        <w:outlineLvl w:val="0"/>
        <w:rPr>
          <w:rFonts w:hint="eastAsia" w:ascii="宋体" w:hAnsi="宋体"/>
          <w:b/>
          <w:bCs/>
          <w:szCs w:val="21"/>
        </w:rPr>
      </w:pPr>
      <w:r>
        <w:rPr>
          <w:rFonts w:hint="eastAsia" w:ascii="宋体" w:hAnsi="宋体"/>
          <w:b/>
          <w:bCs/>
          <w:szCs w:val="21"/>
        </w:rPr>
        <w:t>二、教学设施</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1）校内实验室设置数量和实验室设备配置因专业规模和校情而异。一般情况下实验室应满足化学实验、计算机操作、生物化学、微生物与免疫技术、动物解剖与生理、畜禽病理药理、饲料分析、动物遗传繁育、疾病诊断与治疗、家畜环境监测与控制等有关课程的实验、实习要求。</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（2）校内实训基地</w:t>
      </w:r>
      <w:r>
        <w:rPr>
          <w:rFonts w:hint="eastAsia" w:ascii="宋体" w:hAnsi="宋体"/>
          <w:szCs w:val="21"/>
          <w:lang w:eastAsia="zh-CN"/>
        </w:rPr>
        <w:t>。</w:t>
      </w:r>
      <w:r>
        <w:rPr>
          <w:rFonts w:hint="eastAsia" w:ascii="宋体" w:hAnsi="宋体"/>
          <w:szCs w:val="21"/>
        </w:rPr>
        <w:t>畜禽养殖基地的规模，能够满足学生对养殖设备的认识与使用、繁殖技术训练、饲养管理、卫生防疫技术操作训练的基本需要；设置动物医院，开展诊断与治疗。</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）校外实训基地的基本要求</w:t>
      </w:r>
      <w:r>
        <w:rPr>
          <w:rFonts w:hint="eastAsia" w:ascii="宋体" w:hAnsi="宋体"/>
          <w:szCs w:val="21"/>
          <w:lang w:eastAsia="zh-CN"/>
        </w:rPr>
        <w:t>。</w:t>
      </w:r>
      <w:r>
        <w:rPr>
          <w:rFonts w:hint="eastAsia" w:ascii="宋体" w:hAnsi="宋体"/>
          <w:szCs w:val="21"/>
        </w:rPr>
        <w:t>校外实训基地应包括畜禽养殖企业、饲料生产与经营企业、兽药生产与经营企业等。</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lang w:eastAsia="zh-CN"/>
        </w:rPr>
        <w:t>①</w:t>
      </w:r>
      <w:r>
        <w:rPr>
          <w:rFonts w:hint="eastAsia" w:ascii="宋体" w:hAnsi="宋体"/>
          <w:szCs w:val="21"/>
        </w:rPr>
        <w:t>规模要求</w:t>
      </w:r>
      <w:r>
        <w:rPr>
          <w:rFonts w:hint="eastAsia" w:ascii="宋体" w:hAnsi="宋体"/>
          <w:szCs w:val="21"/>
          <w:lang w:eastAsia="zh-CN"/>
        </w:rPr>
        <w:t>。</w:t>
      </w:r>
      <w:r>
        <w:rPr>
          <w:rFonts w:hint="eastAsia" w:ascii="宋体" w:hAnsi="宋体"/>
          <w:szCs w:val="21"/>
        </w:rPr>
        <w:t>畜禽养殖场要具有一定的规模（蛋鸡存栏2万只以上、肉鸡年出栏30万只以上、种猪存栏200头以上或年出栏生猪5000头以上、奶牛存栏150头以上、肉羊存栏300只以上），配合饲料加工厂年销售全价饲料在2万吨以上或浓缩饲料1万吨以上或预混料0.6万吨以上；兽药厂年产值在1000万元以上。</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lang w:eastAsia="zh-CN"/>
        </w:rPr>
        <w:t>②</w:t>
      </w:r>
      <w:r>
        <w:rPr>
          <w:rFonts w:hint="eastAsia" w:ascii="宋体" w:hAnsi="宋体"/>
          <w:szCs w:val="21"/>
        </w:rPr>
        <w:t>数量要求</w:t>
      </w:r>
      <w:r>
        <w:rPr>
          <w:rFonts w:hint="eastAsia" w:ascii="宋体" w:hAnsi="宋体"/>
          <w:szCs w:val="21"/>
          <w:lang w:eastAsia="zh-CN"/>
        </w:rPr>
        <w:t>。</w:t>
      </w:r>
      <w:r>
        <w:rPr>
          <w:rFonts w:hint="eastAsia" w:ascii="宋体" w:hAnsi="宋体"/>
          <w:szCs w:val="21"/>
        </w:rPr>
        <w:t>每种类型的企业接受顶岗实习学生的数量不少于本专业一届的学生人数。</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lang w:eastAsia="zh-CN"/>
        </w:rPr>
        <w:t>③</w:t>
      </w:r>
      <w:r>
        <w:rPr>
          <w:rFonts w:hint="eastAsia" w:ascii="宋体" w:hAnsi="宋体"/>
          <w:szCs w:val="21"/>
        </w:rPr>
        <w:t>管理要求</w:t>
      </w:r>
      <w:r>
        <w:rPr>
          <w:rFonts w:hint="eastAsia" w:ascii="宋体" w:hAnsi="宋体"/>
          <w:szCs w:val="21"/>
          <w:lang w:eastAsia="zh-CN"/>
        </w:rPr>
        <w:t>。</w:t>
      </w:r>
      <w:r>
        <w:rPr>
          <w:rFonts w:hint="eastAsia" w:ascii="宋体" w:hAnsi="宋体"/>
          <w:szCs w:val="21"/>
        </w:rPr>
        <w:t>学校应与校外实训基地签订合作协议，内容包含对顶岗实习期间学生的管理、指导、补贴、保险、考核等。</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信息网络教学条件</w:t>
      </w:r>
      <w:r>
        <w:rPr>
          <w:rFonts w:hint="eastAsia" w:ascii="宋体" w:hAnsi="宋体"/>
          <w:szCs w:val="21"/>
          <w:lang w:eastAsia="zh-CN"/>
        </w:rPr>
        <w:t>。</w:t>
      </w:r>
      <w:r>
        <w:rPr>
          <w:rFonts w:hint="eastAsia" w:ascii="宋体" w:hAnsi="宋体"/>
          <w:szCs w:val="21"/>
        </w:rPr>
        <w:t>学校要有校园网，有满足学生学习的计算机室、阅览室、多媒体教室和语音室，百名学生拥有计算机数不低于20台，拥有阅览室、多媒体教室和语音室座位数不低于7个，能够满足学生查询有关资料和进行网络化学习的需要。</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2" w:firstLineChars="200"/>
        <w:jc w:val="both"/>
        <w:textAlignment w:val="auto"/>
        <w:outlineLvl w:val="0"/>
        <w:rPr>
          <w:rFonts w:hint="eastAsia" w:ascii="宋体" w:hAnsi="宋体"/>
          <w:b/>
          <w:bCs/>
          <w:szCs w:val="21"/>
        </w:rPr>
      </w:pPr>
      <w:r>
        <w:rPr>
          <w:rFonts w:hint="eastAsia" w:ascii="宋体" w:hAnsi="宋体"/>
          <w:b/>
          <w:bCs/>
          <w:szCs w:val="21"/>
        </w:rPr>
        <w:t>三、教材及图书、数字化（网络）资料等学习资源</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优先选用国家级、省级获奖教材、规划教材。鼓励教师与行业企业专家合作，共同开发突出高等职业教育特色、体现基于工作过程和职业资格培训内容特点的教材。</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本专业图书的数量不少于每个学生50本，图书的新添置量每年不少于每生２册。</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数字化专业学习资源要能够满足教师、学生、企业职工自主学习的要求。</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2" w:firstLineChars="200"/>
        <w:jc w:val="both"/>
        <w:textAlignment w:val="auto"/>
        <w:outlineLvl w:val="0"/>
        <w:rPr>
          <w:rFonts w:hint="eastAsia" w:ascii="宋体" w:hAnsi="宋体"/>
          <w:b/>
          <w:bCs/>
          <w:szCs w:val="21"/>
        </w:rPr>
      </w:pPr>
      <w:r>
        <w:rPr>
          <w:rFonts w:hint="eastAsia" w:ascii="宋体" w:hAnsi="宋体"/>
          <w:b/>
          <w:bCs/>
          <w:szCs w:val="21"/>
        </w:rPr>
        <w:t>四、教学方法、手段与教学组织形式</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w:t>
      </w:r>
      <w:r>
        <w:rPr>
          <w:rFonts w:hint="eastAsia" w:ascii="宋体" w:hAnsi="宋体"/>
          <w:szCs w:val="21"/>
          <w:lang w:eastAsia="zh-CN"/>
        </w:rPr>
        <w:t>一</w:t>
      </w:r>
      <w:r>
        <w:rPr>
          <w:rFonts w:hint="eastAsia" w:ascii="宋体" w:hAnsi="宋体"/>
          <w:szCs w:val="21"/>
        </w:rPr>
        <w:t>）教学方法和手段：根据课程特点采取灵活而实用的教学方法，对于实践性强的课程建议采用教学做一体化的方法。对于有关内容应采用案例式、讨论式教学，推行任务驱动式、项目导向式教学模式，重在发挥学生在学习过程中的主动性，同时将创业教育引入教学全过程。</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教学手段应多元化，鼓励使用多媒体教学，加大录像、图片、动画等直观教学元素在多媒体课件中的使用。有条件情况下引入企业远程资源，组织现场教学。</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w:t>
      </w:r>
      <w:r>
        <w:rPr>
          <w:rFonts w:hint="eastAsia" w:ascii="宋体" w:hAnsi="宋体"/>
          <w:szCs w:val="21"/>
          <w:lang w:eastAsia="zh-CN"/>
        </w:rPr>
        <w:t>二</w:t>
      </w:r>
      <w:r>
        <w:rPr>
          <w:rFonts w:hint="eastAsia" w:ascii="宋体" w:hAnsi="宋体"/>
          <w:szCs w:val="21"/>
        </w:rPr>
        <w:t>）教学组织形式：充分体现以学生为主体的理念，通过现场教学、课堂讨论、案例分析、课后思考总结等形式提高学生学习的积极性和主动性。</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2" w:firstLineChars="200"/>
        <w:jc w:val="both"/>
        <w:textAlignment w:val="auto"/>
        <w:outlineLvl w:val="0"/>
        <w:rPr>
          <w:rFonts w:hint="eastAsia" w:ascii="宋体" w:hAnsi="宋体"/>
          <w:b/>
          <w:bCs/>
          <w:szCs w:val="21"/>
        </w:rPr>
      </w:pPr>
      <w:r>
        <w:rPr>
          <w:rFonts w:hint="eastAsia" w:ascii="宋体" w:hAnsi="宋体"/>
          <w:b/>
          <w:bCs/>
          <w:szCs w:val="21"/>
        </w:rPr>
        <w:t>五、教学评价、考核建议</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通过多种评价方式如作业、提问、实验报告、技能测试、试卷测试等多种考核形式，突出学生的能力和综合素质的考核评价（如学习能力、学习习惯等）；要将职业资格证书、计算机应用能力、英语等级证书的获取以及毕业论文的质量作为评价学生毕业的重要条件。</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积极引入社会评价机制，吸纳本行业、企业人员参与到教学评价过程中，尤其是接纳毕业生的企业要成为社会评价的重要部分，体现用人单位在教学评价中的作用。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2" w:firstLineChars="200"/>
        <w:jc w:val="both"/>
        <w:textAlignment w:val="auto"/>
        <w:outlineLvl w:val="0"/>
        <w:rPr>
          <w:rFonts w:hint="eastAsia" w:ascii="宋体" w:hAnsi="宋体"/>
          <w:b/>
          <w:bCs/>
          <w:szCs w:val="21"/>
        </w:rPr>
      </w:pPr>
      <w:r>
        <w:rPr>
          <w:rFonts w:hint="eastAsia" w:ascii="宋体" w:hAnsi="宋体"/>
          <w:b/>
          <w:bCs/>
          <w:szCs w:val="21"/>
        </w:rPr>
        <w:t>六、教学管理</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w:t>
      </w:r>
      <w:r>
        <w:rPr>
          <w:rFonts w:hint="eastAsia" w:ascii="宋体" w:hAnsi="宋体"/>
          <w:szCs w:val="21"/>
          <w:lang w:eastAsia="zh-CN"/>
        </w:rPr>
        <w:t>一</w:t>
      </w:r>
      <w:r>
        <w:rPr>
          <w:rFonts w:hint="eastAsia" w:ascii="宋体" w:hAnsi="宋体"/>
          <w:szCs w:val="21"/>
        </w:rPr>
        <w:t>）建立规范的教学管理制度：针对计划管理、教学运行、教学条件建设、资源建设、教学监督与评价等制订一整套科学、规范的规章制度，依法管理，依法治教，保证稳定有序的教学秩序，形成良好的运行机制。</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w:t>
      </w:r>
      <w:r>
        <w:rPr>
          <w:rFonts w:hint="eastAsia" w:ascii="宋体" w:hAnsi="宋体"/>
          <w:szCs w:val="21"/>
          <w:lang w:eastAsia="zh-CN"/>
        </w:rPr>
        <w:t>二</w:t>
      </w:r>
      <w:r>
        <w:rPr>
          <w:rFonts w:hint="eastAsia" w:ascii="宋体" w:hAnsi="宋体"/>
          <w:szCs w:val="21"/>
        </w:rPr>
        <w:t>）设立有教学管理组织：学校应建立教学工作委员会，研究和决定学校教学管理工作中的一些重大问题。各系建立由系主任、教学副主任、教学秘书和教研室主任组成的教学管理小组，负责落实各项教学任务并进行检查指导。专业应设立专业负责人，具体负责本专业建设、改革与运行管理中的有关工作。</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与行业企业合作成立专业建设指导委员会，共同参与人才培养方案和核心课程标准的制定。</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p>
    <w:p>
      <w:pPr>
        <w:adjustRightInd w:val="0"/>
        <w:snapToGrid w:val="0"/>
        <w:spacing w:line="360" w:lineRule="auto"/>
        <w:rPr>
          <w:rFonts w:hint="eastAsia" w:ascii="宋体" w:hAnsi="宋体"/>
          <w:b/>
          <w:sz w:val="24"/>
        </w:rPr>
      </w:pPr>
      <w:r>
        <w:rPr>
          <w:rFonts w:hint="eastAsia" w:ascii="宋体" w:hAnsi="宋体"/>
          <w:b/>
          <w:sz w:val="24"/>
        </w:rPr>
        <w:t>继续专业学习深造建议</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本专业毕业生继续学习的渠道包括：专升本、自学考试、函授、参加相关培训等。</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4" w:firstLineChars="202"/>
        <w:jc w:val="both"/>
        <w:textAlignment w:val="auto"/>
        <w:rPr>
          <w:rFonts w:hint="eastAsia" w:ascii="宋体" w:hAnsi="宋体"/>
          <w:szCs w:val="21"/>
        </w:rPr>
      </w:pPr>
      <w:r>
        <w:rPr>
          <w:rFonts w:hint="eastAsia" w:ascii="宋体" w:hAnsi="宋体"/>
          <w:szCs w:val="21"/>
        </w:rPr>
        <w:t>本专业毕业生接受更高层次教育的专业面向包括动物科学、动物医学、生物技术（动物生物技术方向）的本科</w:t>
      </w:r>
      <w:r>
        <w:rPr>
          <w:rFonts w:hint="eastAsia" w:ascii="宋体" w:hAnsi="宋体"/>
          <w:szCs w:val="21"/>
          <w:lang w:eastAsia="zh-CN"/>
        </w:rPr>
        <w:t>，</w:t>
      </w:r>
      <w:r>
        <w:rPr>
          <w:rFonts w:hint="eastAsia" w:ascii="宋体" w:hAnsi="宋体"/>
          <w:szCs w:val="21"/>
        </w:rPr>
        <w:t>动物医学、动物科学、农业推广硕士（养殖技术方向）、兽医硕士以及其它类型的研究生等。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7CD"/>
    <w:rsid w:val="00E257CD"/>
    <w:rsid w:val="13976DBA"/>
    <w:rsid w:val="35051E4B"/>
    <w:rsid w:val="3E2C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2018-03-07T12:26:00Z</dcterms:created>
  <dc:creator>winter .</dc:creator>
  <lastModifiedBy>zkzxz</lastModifiedBy>
  <dcterms:modified xsi:type="dcterms:W3CDTF">2018-03-22T03:14:40Z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